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33.png" ContentType="image/png"/>
  <Override PartName="/word/media/rId109.png" ContentType="image/png"/>
  <Override PartName="/word/media/rId121.png" ContentType="image/png"/>
  <Override PartName="/word/media/rId125.png" ContentType="image/png"/>
  <Override PartName="/word/media/rId129.png" ContentType="image/png"/>
  <Override PartName="/word/media/rId97.png" ContentType="image/png"/>
  <Override PartName="/word/media/rId101.png" ContentType="image/png"/>
  <Override PartName="/word/media/rId105.png" ContentType="image/png"/>
  <Override PartName="/word/media/rId69.png" ContentType="image/png"/>
  <Override PartName="/word/media/rId73.png" ContentType="image/png"/>
  <Override PartName="/word/media/rId81.png" ContentType="image/png"/>
  <Override PartName="/word/media/rId85.png" ContentType="image/png"/>
  <Override PartName="/word/media/rId61.png" ContentType="image/png"/>
  <Override PartName="/word/media/rId33.jpg" ContentType="image/jpeg"/>
  <Override PartName="/word/media/rId45.jpg" ContentType="image/jpeg"/>
  <Override PartName="/word/media/rId49.jpg" ContentType="image/jpeg"/>
  <Override PartName="/word/media/rId53.png" ContentType="image/png"/>
  <Override PartName="/word/media/rId41.jpg" ContentType="image/jpeg"/>
  <Override PartName="/word/media/rId37.png" ContentType="image/png"/>
  <Override PartName="/word/media/rId65.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9</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1</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6</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7</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8</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3</w:t>
        </w:r>
      </w:hyperlink>
      <w:r>
        <w:t xml:space="preserve">), improved control and data acquisition systems, a new pump and gradient valve system, a new telemetry data system and accompanying web dashboard (</w:t>
      </w:r>
      <w:hyperlink w:anchor="fig-status">
        <w:r>
          <w:rPr>
            <w:rStyle w:val="Hyperlink"/>
          </w:rPr>
          <w:t xml:space="preserve">Figure 2</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p>
      <w:pPr>
        <w:pStyle w:val="FirstParagraph"/>
      </w:pPr>
      <w:r>
        <w:t xml:space="preserve">The summer 2025 deployment</w:t>
      </w:r>
    </w:p>
    <w:bookmarkStart w:id="28" w:name="qms-data"/>
    <w:p>
      <w:pPr>
        <w:pStyle w:val="Heading2"/>
      </w:pPr>
      <w:r>
        <w:t xml:space="preserve">QMS data</w:t>
      </w:r>
    </w:p>
    <w:p>
      <w:pPr>
        <w:pStyle w:val="FirstParagraph"/>
      </w:pPr>
      <w:r>
        <w:t xml:space="preserve">Mass trace data</w:t>
      </w:r>
      <w:r>
        <w:t xml:space="preserve"> </w:t>
      </w:r>
      <w:r>
        <w:t xml:space="preserve">noise reduction</w:t>
      </w:r>
      <w:r>
        <w:t xml:space="preserve"> </w:t>
      </w:r>
      <w:r>
        <w:t xml:space="preserve">argon normalization</w:t>
      </w:r>
      <w:r>
        <w:t xml:space="preserve"> </w:t>
      </w:r>
      <w:r>
        <w:t xml:space="preserve">oxygen signal (gradients)</w:t>
      </w:r>
    </w:p>
    <w:bookmarkEnd w:id="28"/>
    <w:bookmarkStart w:id="29" w:name="calibration"/>
    <w:p>
      <w:pPr>
        <w:pStyle w:val="Heading2"/>
      </w:pPr>
      <w:r>
        <w:t xml:space="preserve">Calibration</w:t>
      </w:r>
    </w:p>
    <w:p>
      <w:pPr>
        <w:pStyle w:val="FirstParagraph"/>
      </w:pPr>
      <w:r>
        <w:t xml:space="preserve">cal fit</w:t>
      </w:r>
      <w:r>
        <w:t xml:space="preserve"> </w:t>
      </w:r>
      <w:r>
        <w:t xml:space="preserve">cal compare</w:t>
      </w:r>
    </w:p>
    <w:bookmarkEnd w:id="29"/>
    <w:bookmarkStart w:id="30" w:name="gradients-and-fluxes"/>
    <w:p>
      <w:pPr>
        <w:pStyle w:val="Heading2"/>
      </w:pPr>
      <w:r>
        <w:t xml:space="preserve">Gradients and fluxes</w:t>
      </w:r>
    </w:p>
    <w:bookmarkEnd w:id="30"/>
    <w:bookmarkStart w:id="31" w:name="eelgrass-growth-data"/>
    <w:p>
      <w:pPr>
        <w:pStyle w:val="Heading2"/>
      </w:pPr>
      <w:r>
        <w:t xml:space="preserve">Eelgrass growth data</w:t>
      </w:r>
    </w:p>
    <w:bookmarkEnd w:id="31"/>
    <w:bookmarkEnd w:id="32"/>
    <w:bookmarkStart w:id="152"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barge"/>
          <w:p>
            <w:pPr>
              <w:pStyle w:val="Compact"/>
              <w:jc w:val="center"/>
            </w:pPr>
            <w:r>
              <w:drawing>
                <wp:inline>
                  <wp:extent cx="5889567" cy="4418214"/>
                  <wp:effectExtent b="0" l="0" r="0" t="0"/>
                  <wp:docPr descr="" title="" id="34" name="Picture"/>
                  <a:graphic>
                    <a:graphicData uri="http://schemas.openxmlformats.org/drawingml/2006/picture">
                      <pic:pic>
                        <pic:nvPicPr>
                          <pic:cNvPr descr="report_photos/gems_barge.jpg" id="35" name="Picture"/>
                          <pic:cNvPicPr>
                            <a:picLocks noChangeArrowheads="1" noChangeAspect="1"/>
                          </pic:cNvPicPr>
                        </pic:nvPicPr>
                        <pic:blipFill>
                          <a:blip r:embed="rId33"/>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atus"/>
          <w:p>
            <w:pPr>
              <w:pStyle w:val="Compact"/>
              <w:jc w:val="center"/>
            </w:pPr>
            <w:r>
              <w:drawing>
                <wp:inline>
                  <wp:extent cx="5943600" cy="6298773"/>
                  <wp:effectExtent b="0" l="0" r="0" t="0"/>
                  <wp:docPr descr="" title="" id="38" name="Picture"/>
                  <a:graphic>
                    <a:graphicData uri="http://schemas.openxmlformats.org/drawingml/2006/picture">
                      <pic:pic>
                        <pic:nvPicPr>
                          <pic:cNvPr descr="report_photos/gems_status.png" id="39" name="Picture"/>
                          <pic:cNvPicPr>
                            <a:picLocks noChangeArrowheads="1" noChangeAspect="1"/>
                          </pic:cNvPicPr>
                        </pic:nvPicPr>
                        <pic:blipFill>
                          <a:blip r:embed="rId3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nder"/>
          <w:p>
            <w:pPr>
              <w:pStyle w:val="Compact"/>
              <w:jc w:val="center"/>
            </w:pPr>
            <w:r>
              <w:drawing>
                <wp:inline>
                  <wp:extent cx="4754880" cy="6294577"/>
                  <wp:effectExtent b="0" l="0" r="0" t="0"/>
                  <wp:docPr descr="" title="" id="42" name="Picture"/>
                  <a:graphic>
                    <a:graphicData uri="http://schemas.openxmlformats.org/drawingml/2006/picture">
                      <pic:pic>
                        <pic:nvPicPr>
                          <pic:cNvPr descr="report_photos/gems_lander.jpg" id="43" name="Picture"/>
                          <pic:cNvPicPr>
                            <a:picLocks noChangeArrowheads="1" noChangeAspect="1"/>
                          </pic:cNvPicPr>
                        </pic:nvPicPr>
                        <pic:blipFill>
                          <a:blip r:embed="rId41"/>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deployment"/>
          <w:p>
            <w:pPr>
              <w:pStyle w:val="Compact"/>
              <w:jc w:val="center"/>
            </w:pPr>
            <w:r>
              <w:drawing>
                <wp:inline>
                  <wp:extent cx="5943600" cy="5191298"/>
                  <wp:effectExtent b="0" l="0" r="0" t="0"/>
                  <wp:docPr descr="" title="" id="46" name="Picture"/>
                  <a:graphic>
                    <a:graphicData uri="http://schemas.openxmlformats.org/drawingml/2006/picture">
                      <pic:pic>
                        <pic:nvPicPr>
                          <pic:cNvPr descr="report_photos/gems_deployment.jpg" id="47" name="Picture"/>
                          <pic:cNvPicPr>
                            <a:picLocks noChangeArrowheads="1" noChangeAspect="1"/>
                          </pic:cNvPicPr>
                        </pic:nvPicPr>
                        <pic:blipFill>
                          <a:blip r:embed="rId45"/>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eployment-2025"/>
          <w:p>
            <w:pPr>
              <w:pStyle w:val="Compact"/>
              <w:jc w:val="center"/>
            </w:pPr>
            <w:r>
              <w:drawing>
                <wp:inline>
                  <wp:extent cx="5943600" cy="3528697"/>
                  <wp:effectExtent b="0" l="0" r="0" t="0"/>
                  <wp:docPr descr="" title="" id="50" name="Picture"/>
                  <a:graphic>
                    <a:graphicData uri="http://schemas.openxmlformats.org/drawingml/2006/picture">
                      <pic:pic>
                        <pic:nvPicPr>
                          <pic:cNvPr descr="report_photos/gems_deployment_2025.jpg" id="51" name="Picture"/>
                          <pic:cNvPicPr>
                            <a:picLocks noChangeArrowheads="1" noChangeAspect="1"/>
                          </pic:cNvPicPr>
                        </pic:nvPicPr>
                        <pic:blipFill>
                          <a:blip r:embed="rId49"/>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above the lander deployment location.</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bel-setup"/>
          <w:p>
            <w:pPr>
              <w:pStyle w:val="Compact"/>
              <w:jc w:val="center"/>
            </w:pPr>
            <w:r>
              <w:drawing>
                <wp:inline>
                  <wp:extent cx="4160520" cy="6534352"/>
                  <wp:effectExtent b="0" l="0" r="0" t="0"/>
                  <wp:docPr descr="" title="" id="54" name="Picture"/>
                  <a:graphic>
                    <a:graphicData uri="http://schemas.openxmlformats.org/drawingml/2006/picture">
                      <pic:pic>
                        <pic:nvPicPr>
                          <pic:cNvPr descr="report_photos/gems_dn_chamber.png" id="55" name="Picture"/>
                          <pic:cNvPicPr>
                            <a:picLocks noChangeArrowheads="1" noChangeAspect="1"/>
                          </pic:cNvPicPr>
                        </pic:nvPicPr>
                        <pic:blipFill>
                          <a:blip r:embed="rId53"/>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label-evolution"/>
          <w:p>
            <w:pPr>
              <w:pStyle w:val="Compact"/>
              <w:jc w:val="center"/>
            </w:pPr>
            <w:r>
              <w:drawing>
                <wp:inline>
                  <wp:extent cx="5943600" cy="3669937"/>
                  <wp:effectExtent b="0" l="0" r="0" t="0"/>
                  <wp:docPr descr="" title="" id="58" name="Picture"/>
                  <a:graphic>
                    <a:graphicData uri="http://schemas.openxmlformats.org/drawingml/2006/picture">
                      <pic:pic>
                        <pic:nvPicPr>
                          <pic:cNvPr descr="report_photos/n15_label_evolution.png" id="59" name="Picture"/>
                          <pic:cNvPicPr>
                            <a:picLocks noChangeArrowheads="1" noChangeAspect="1"/>
                          </pic:cNvPicPr>
                        </pic:nvPicPr>
                        <pic:blipFill>
                          <a:blip r:embed="rId57"/>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7: Evolution through time of single- and doubly-labeled nitrogen and argon tracers during a denitrification experiment in an eelgrass mesocosm.</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n-rates"/>
          <w:p>
            <w:pPr>
              <w:pStyle w:val="Compact"/>
              <w:jc w:val="center"/>
            </w:pPr>
            <w:r>
              <w:drawing>
                <wp:inline>
                  <wp:extent cx="5943600" cy="3669937"/>
                  <wp:effectExtent b="0" l="0" r="0" t="0"/>
                  <wp:docPr descr="" title="" id="62" name="Picture"/>
                  <a:graphic>
                    <a:graphicData uri="http://schemas.openxmlformats.org/drawingml/2006/picture">
                      <pic:pic>
                        <pic:nvPicPr>
                          <pic:cNvPr descr="report_photos/crate_dn_comparison.png" id="63" name="Picture"/>
                          <pic:cNvPicPr>
                            <a:picLocks noChangeArrowheads="1" noChangeAspect="1"/>
                          </pic:cNvPicPr>
                        </pic:nvPicPr>
                        <pic:blipFill>
                          <a:blip r:embed="rId61"/>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8: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2021-gradients"/>
          <w:p>
            <w:pPr>
              <w:pStyle w:val="Compact"/>
              <w:jc w:val="center"/>
            </w:pPr>
            <w:r>
              <w:drawing>
                <wp:inline>
                  <wp:extent cx="5943600" cy="3901626"/>
                  <wp:effectExtent b="0" l="0" r="0" t="0"/>
                  <wp:docPr descr="" title="" id="66" name="Picture"/>
                  <a:graphic>
                    <a:graphicData uri="http://schemas.openxmlformats.org/drawingml/2006/picture">
                      <pic:pic>
                        <pic:nvPicPr>
                          <pic:cNvPr descr="report_photos/gradients_2021.png" id="67" name="Picture"/>
                          <pic:cNvPicPr>
                            <a:picLocks noChangeArrowheads="1" noChangeAspect="1"/>
                          </pic:cNvPicPr>
                        </pic:nvPicPr>
                        <pic:blipFill>
                          <a:blip r:embed="rId65"/>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flux-nem-hourly"/>
          <w:p>
            <w:pPr>
              <w:pStyle w:val="Compact"/>
              <w:jc w:val="center"/>
            </w:pPr>
            <w:r>
              <w:drawing>
                <wp:inline>
                  <wp:extent cx="5943600" cy="3268980"/>
                  <wp:effectExtent b="0" l="0" r="0" t="0"/>
                  <wp:docPr descr="" title="" id="126" name="Picture"/>
                  <a:graphic>
                    <a:graphicData uri="http://schemas.openxmlformats.org/drawingml/2006/picture">
                      <pic:pic>
                        <pic:nvPicPr>
                          <pic:cNvPr descr="gems_final_nsf_report_files/figure-docx/fig-flux-nem-hourly-1.png" id="127" name="Picture"/>
                          <pic:cNvPicPr>
                            <a:picLocks noChangeArrowheads="1" noChangeAspect="1"/>
                          </pic:cNvPicPr>
                        </pic:nvPicPr>
                        <pic:blipFill>
                          <a:blip r:embed="rId125"/>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month for the deployment period to provide an estimate of net ecosystem metabolism (NEM). The benthic system at Naushon Island is close to net neutral over time.</w:t>
            </w:r>
          </w:p>
          <w:bookmarkEnd w:id="128"/>
        </w:tc>
      </w:tr>
    </w:tbl>
    <w:tbl>
      <w:tblPr>
        <w:tblStyle w:val="Table"/>
        <w:tblW w:type="pct" w:w="5000"/>
        <w:tblLayout w:type="fixed"/>
        <w:tblLook w:firstRow="0" w:lastRow="0" w:firstColumn="0" w:lastColumn="0" w:noHBand="0" w:noVBand="0" w:val="0000"/>
      </w:tblPr>
      <w:tblGrid>
        <w:gridCol w:w="7920"/>
      </w:tblGrid>
      <w:tr>
        <w:tc>
          <w:tcPr/>
          <w:bookmarkStart w:id="132" w:name="fig-flux-nem-monthly"/>
          <w:p>
            <w:pPr>
              <w:pStyle w:val="Compact"/>
              <w:jc w:val="center"/>
            </w:pPr>
            <w:r>
              <w:drawing>
                <wp:inline>
                  <wp:extent cx="5943600" cy="3268980"/>
                  <wp:effectExtent b="0" l="0" r="0" t="0"/>
                  <wp:docPr descr="" title="" id="130" name="Picture"/>
                  <a:graphic>
                    <a:graphicData uri="http://schemas.openxmlformats.org/drawingml/2006/picture">
                      <pic:pic>
                        <pic:nvPicPr>
                          <pic:cNvPr descr="gems_final_nsf_report_files/figure-docx/fig-flux-nem-monthly-1.png" id="131" name="Picture"/>
                          <pic:cNvPicPr>
                            <a:picLocks noChangeArrowheads="1" noChangeAspect="1"/>
                          </pic:cNvPicPr>
                        </pic:nvPicPr>
                        <pic:blipFill>
                          <a:blip r:embed="rId12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Daily-integrated NEM for the deployment period. Daily NEM is variable, but is close to net-neutral over time.</w:t>
            </w:r>
          </w:p>
          <w:bookmarkEnd w:id="132"/>
        </w:tc>
      </w:tr>
    </w:tbl>
    <w:p>
      <w:r>
        <w:br w:type="page"/>
      </w:r>
    </w:p>
    <w:tbl>
      <w:tblPr>
        <w:tblStyle w:val="Table"/>
        <w:tblW w:type="pct" w:w="5000"/>
        <w:tblLayout w:type="fixed"/>
        <w:tblLook w:firstRow="0" w:lastRow="0" w:firstColumn="0" w:lastColumn="0" w:noHBand="0" w:noVBand="0" w:val="0000"/>
      </w:tblPr>
      <w:tblGrid>
        <w:gridCol w:w="7920"/>
      </w:tblGrid>
      <w:tr>
        <w:tc>
          <w:tcPr/>
          <w:bookmarkStart w:id="136" w:name="fig-eelgrass"/>
          <w:p>
            <w:pPr>
              <w:pStyle w:val="Compact"/>
              <w:jc w:val="center"/>
            </w:pPr>
            <w:r>
              <w:drawing>
                <wp:inline>
                  <wp:extent cx="5943600" cy="7132320"/>
                  <wp:effectExtent b="0" l="0" r="0" t="0"/>
                  <wp:docPr descr="" title="" id="134" name="Picture"/>
                  <a:graphic>
                    <a:graphicData uri="http://schemas.openxmlformats.org/drawingml/2006/picture">
                      <pic:pic>
                        <pic:nvPicPr>
                          <pic:cNvPr descr="gems_final_nsf_report_files/figure-docx/fig-eelgrass-1.png" id="135" name="Picture"/>
                          <pic:cNvPicPr>
                            <a:picLocks noChangeArrowheads="1" noChangeAspect="1"/>
                          </pic:cNvPicPr>
                        </pic:nvPicPr>
                        <pic:blipFill>
                          <a:blip r:embed="rId133"/>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6"/>
        </w:tc>
      </w:tr>
    </w:tbl>
    <w:bookmarkStart w:id="151" w:name="refs"/>
    <w:bookmarkStart w:id="138"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7">
        <w:r>
          <w:rPr>
            <w:rStyle w:val="Hyperlink"/>
          </w:rPr>
          <w:t xml:space="preserve">https://doi.org/10.4319/lo.1969.14.3.0454</w:t>
        </w:r>
      </w:hyperlink>
      <w:r>
        <w:t xml:space="preserve">.</w:t>
      </w:r>
    </w:p>
    <w:bookmarkEnd w:id="138"/>
    <w:bookmarkStart w:id="140"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9">
        <w:r>
          <w:rPr>
            <w:rStyle w:val="Hyperlink"/>
          </w:rPr>
          <w:t xml:space="preserve">https://doi.org/10.1002/lom3.10482</w:t>
        </w:r>
      </w:hyperlink>
      <w:r>
        <w:t xml:space="preserve">.</w:t>
      </w:r>
    </w:p>
    <w:bookmarkEnd w:id="140"/>
    <w:bookmarkStart w:id="142"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41">
        <w:r>
          <w:rPr>
            <w:rStyle w:val="Hyperlink"/>
          </w:rPr>
          <w:t xml:space="preserve">https://doi.org/10.1029/2020JC016637</w:t>
        </w:r>
      </w:hyperlink>
      <w:r>
        <w:t xml:space="preserve">.</w:t>
      </w:r>
    </w:p>
    <w:bookmarkEnd w:id="142"/>
    <w:bookmarkStart w:id="144"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43">
        <w:r>
          <w:rPr>
            <w:rStyle w:val="Hyperlink"/>
          </w:rPr>
          <w:t xml:space="preserve">https://doi.org/10.1029/2010GL046179</w:t>
        </w:r>
      </w:hyperlink>
      <w:r>
        <w:t xml:space="preserve">.</w:t>
      </w:r>
    </w:p>
    <w:bookmarkEnd w:id="144"/>
    <w:bookmarkStart w:id="146"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5">
        <w:r>
          <w:rPr>
            <w:rStyle w:val="Hyperlink"/>
          </w:rPr>
          <w:t xml:space="preserve">https://doi.org/10.1002/2016JC011886</w:t>
        </w:r>
      </w:hyperlink>
      <w:r>
        <w:t xml:space="preserve">.</w:t>
      </w:r>
    </w:p>
    <w:bookmarkEnd w:id="146"/>
    <w:bookmarkStart w:id="148"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7">
        <w:r>
          <w:rPr>
            <w:rStyle w:val="Hyperlink"/>
          </w:rPr>
          <w:t xml:space="preserve">https://doi.org/10.1038/ngeo1183</w:t>
        </w:r>
      </w:hyperlink>
      <w:r>
        <w:t xml:space="preserve">.</w:t>
      </w:r>
    </w:p>
    <w:bookmarkEnd w:id="148"/>
    <w:bookmarkStart w:id="150"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9">
        <w:r>
          <w:rPr>
            <w:rStyle w:val="Hyperlink"/>
          </w:rPr>
          <w:t xml:space="preserve">https://doi.org/10.1016/j.dsr2.2010.05.009</w:t>
        </w:r>
      </w:hyperlink>
      <w:r>
        <w:t xml:space="preserve">.</w:t>
      </w:r>
    </w:p>
    <w:bookmarkEnd w:id="150"/>
    <w:bookmarkEnd w:id="151"/>
    <w:bookmarkEnd w:id="152"/>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45" Target="media/rId45.jpg" /><Relationship Type="http://schemas.openxmlformats.org/officeDocument/2006/relationships/image" Id="rId49" Target="media/rId49.jpg" /><Relationship Type="http://schemas.openxmlformats.org/officeDocument/2006/relationships/image" Id="rId53" Target="media/rId53.png" /><Relationship Type="http://schemas.openxmlformats.org/officeDocument/2006/relationships/image" Id="rId41" Target="media/rId41.jpg" /><Relationship Type="http://schemas.openxmlformats.org/officeDocument/2006/relationships/image" Id="rId37" Target="media/rId37.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hyperlink" Id="rId145" Target="https://doi.org/10.1002/2016JC011886" TargetMode="External" /><Relationship Type="http://schemas.openxmlformats.org/officeDocument/2006/relationships/hyperlink" Id="rId139" Target="https://doi.org/10.1002/lom3.10482" TargetMode="External" /><Relationship Type="http://schemas.openxmlformats.org/officeDocument/2006/relationships/hyperlink" Id="rId149" Target="https://doi.org/10.1016/j.dsr2.2010.05.009" TargetMode="External" /><Relationship Type="http://schemas.openxmlformats.org/officeDocument/2006/relationships/hyperlink" Id="rId143" Target="https://doi.org/10.1029/2010GL046179" TargetMode="External" /><Relationship Type="http://schemas.openxmlformats.org/officeDocument/2006/relationships/hyperlink" Id="rId141" Target="https://doi.org/10.1029/2020JC016637" TargetMode="External" /><Relationship Type="http://schemas.openxmlformats.org/officeDocument/2006/relationships/hyperlink" Id="rId147" Target="https://doi.org/10.1038/ngeo1183" TargetMode="External" /><Relationship Type="http://schemas.openxmlformats.org/officeDocument/2006/relationships/hyperlink" Id="rId137"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2016JC011886" TargetMode="External" /><Relationship Type="http://schemas.openxmlformats.org/officeDocument/2006/relationships/hyperlink" Id="rId139" Target="https://doi.org/10.1002/lom3.10482" TargetMode="External" /><Relationship Type="http://schemas.openxmlformats.org/officeDocument/2006/relationships/hyperlink" Id="rId149" Target="https://doi.org/10.1016/j.dsr2.2010.05.009" TargetMode="External" /><Relationship Type="http://schemas.openxmlformats.org/officeDocument/2006/relationships/hyperlink" Id="rId143" Target="https://doi.org/10.1029/2010GL046179" TargetMode="External" /><Relationship Type="http://schemas.openxmlformats.org/officeDocument/2006/relationships/hyperlink" Id="rId141" Target="https://doi.org/10.1029/2020JC016637" TargetMode="External" /><Relationship Type="http://schemas.openxmlformats.org/officeDocument/2006/relationships/hyperlink" Id="rId147" Target="https://doi.org/10.1038/ngeo1183" TargetMode="External" /><Relationship Type="http://schemas.openxmlformats.org/officeDocument/2006/relationships/hyperlink" Id="rId137"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membrane inlet mass spectrometry, seagrass, biogeochemistry, gradient flux, dissolved gases, coastal ecosystems, Zostera marina</cp:keywords>
  <dcterms:created xsi:type="dcterms:W3CDTF">2026-02-12T21:53:42Z</dcterms:created>
  <dcterms:modified xsi:type="dcterms:W3CDTF">2026-02-12T21:53:42Z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